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Having served in the Army during the tail end of the Korean Conflict, I returned to College and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graduated with a BS in Engineering in 1960.  At that time I was working for my father’s Civil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Engineering firm that specialized in property survey’s, land subdivision, and site design.  In fact, I had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worked for his firm since I was big enough to hang on to a the tail end of a 300’ chain under a 30 lb.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pull.  In the field, the tools of the trade were a 20” Berger transit with tripod, a telescoping leveling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rod, and a bag containing wooden stakes, chains of 100, 200, and 300’ lengths (both add and cut)), a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spring tensioner for the chains, red, yellow, and blue crayons, a star drill, 3 lb. hammer, lead slugs,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copper tags, PK nails, tins and assorted other stuff.  The crew usually consisted of a chief, who ran the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transit and kept notes and gave orders, a head chainman, and a rodman (often times me).  Personal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tools included a 16 oz. plumb bob, chain tongs, 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However, at the time I graduated, I had been promoted to an office position where I had my own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drafting table.  Here, the tools of the trade included drafting instruments for inking linens, triangles,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french curve, t-square, erasing shield, a hand-full of lead pencils from HB to 6H and maybe a drafting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machine or an electric eraser if you were lucky.  India inked linen drawings were required for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subdivision maps, records of survey and any other drawing that would be considered a permanent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legal record.  Although any draftsman was expected to be able to use ink on linen, oftentimes a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particular person in an organization would have outstanding skills in this endeavor and would become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the go to person for inking assignments.  Making corrections or changes to inked drawings was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especially challenging.  It took great care to get a clean erasure without rubbing a hole in the linen.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When graphic solutions or different design ideas were to be explored, drafting tissue was the answer. 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The tissue was overlaid on the base drawing and the unchanging information could be traced onto the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tissue.  The new design or idea could then be developed on the tissue.  This could be repeated as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many times as necessary with the final idea then being traced back onto the basic drawing.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Calculations were accomplished by slide rule (I preferred the circular Picket and Eckle), a hand crank or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electric Marchant rotary calculator, a book of logarithms and, if fortunate, a book of trigonometric logs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(this saved the step of having to calculate the trig function before looking up the log). Areas were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commonly measured by the use of a planimeter, as when calculating earth moving volumees.  Cross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sections were drawn based on original and finished elevation contours, the areas of the cross sections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were measured and volumes calculated by multiplying average end areas by the length between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sections.  Pre printed forms were often used for this and other common computational tasks like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closing surveys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Eventually, I left my father’s firm and went to work for the local municipal water department in order to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broaden my experience sufficiently to gain my PE license.  Here, a mark of seniority was issuance of an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electric erasing machine.  Later, possession of an HP35 became a badge of distinction.  As various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hand calculators became more affordable, the chief requirement was that they had to be able to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calculate square root.  I was instrumental in getting the department to subscribe to GE’s time sharing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computing service, and we all marveled at the teletype’s ability to print at 10 characters per second.  I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was convinced that time sharing computing would be all that the department would require, until I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was introduced to Visi Calc on an Apple computer (my first experience with a spread sheet).  That led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to the eventual termination of the time sharing contract as the department started acquiring PC’s.  I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retired as head of the department in 1993, at which time PC’s, were common place but Auto Cad had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not yet become prevalent.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I recall an experience in college of having to solve an indeterminate structural problem using a Bendix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computer that was about 2.5’ wide, 3’ deep and 6’ tall.  Input was by punched tape.  I don’t recall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how many tapes I punched until I got one that was error free.  With that accomplished, the machine 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finally gave me a solution.  My expectation was that computers would never catch on!  How times </w:t>
      </w:r>
      <w:r>
        <w:rPr>
          <w:color w:val="auto"/>
          <w:sz w:val="20"/>
          <w:szCs w:val="20"/>
          <w:rFonts w:ascii="Segoe UI" w:eastAsia="Segoe UI" w:hAnsi="Segoe UI" w:cs="Segoe UI"/>
        </w:rPr>
        <w:t xml:space="preserve">have changed.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753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wobangham</dc:creator>
  <cp:lastModifiedBy>wobangham</cp:lastModifiedBy>
  <cp:version>9.102.73.43337</cp:version>
</cp:coreProperties>
</file>